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FD18E" w14:textId="7E34CDB6" w:rsidR="00C76073" w:rsidRDefault="00C76073" w:rsidP="00C7607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</w:t>
      </w:r>
      <w:r w:rsidR="005D3986">
        <w:rPr>
          <w:rFonts w:ascii="Times New Roman" w:hAnsi="Times New Roman" w:cs="Times New Roman"/>
          <w:b/>
          <w:bCs/>
          <w:sz w:val="20"/>
          <w:szCs w:val="20"/>
        </w:rPr>
        <w:t>V</w:t>
      </w:r>
    </w:p>
    <w:p w14:paraId="68BFD18F" w14:textId="77777777" w:rsidR="00F22EA6" w:rsidRPr="00954339" w:rsidRDefault="00F22EA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54339">
        <w:rPr>
          <w:rFonts w:ascii="Times New Roman" w:hAnsi="Times New Roman" w:cs="Times New Roman"/>
          <w:b/>
          <w:bCs/>
          <w:sz w:val="20"/>
          <w:szCs w:val="20"/>
        </w:rPr>
        <w:t>S.01.02 - Basic information</w:t>
      </w:r>
    </w:p>
    <w:p w14:paraId="68BFD190" w14:textId="77777777" w:rsidR="007674FF" w:rsidRPr="007674FF" w:rsidRDefault="007674FF" w:rsidP="007674F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74FF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14:paraId="68BFD191" w14:textId="77777777" w:rsidR="00904470" w:rsidRDefault="00904470" w:rsidP="00904470">
      <w:pPr>
        <w:jc w:val="both"/>
        <w:rPr>
          <w:rFonts w:ascii="Times New Roman" w:hAnsi="Times New Roman" w:cs="Times New Roman"/>
          <w:sz w:val="20"/>
          <w:szCs w:val="20"/>
        </w:rPr>
      </w:pPr>
      <w:r w:rsidRPr="006966AC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 xml:space="preserve"> of this </w:t>
      </w:r>
      <w:r>
        <w:rPr>
          <w:rFonts w:ascii="Times New Roman" w:hAnsi="Times New Roman" w:cs="Times New Roman"/>
          <w:sz w:val="20"/>
          <w:szCs w:val="20"/>
        </w:rPr>
        <w:t>Guideline</w:t>
      </w:r>
      <w:r w:rsidRPr="006966AC">
        <w:rPr>
          <w:rFonts w:ascii="Times New Roman" w:hAnsi="Times New Roman" w:cs="Times New Roman"/>
          <w:sz w:val="20"/>
          <w:szCs w:val="20"/>
        </w:rPr>
        <w:t xml:space="preserve">. The first column of the next table identifies the items to be reported by identifying the columns and lines as showed in the template in Annex </w:t>
      </w:r>
      <w:r>
        <w:rPr>
          <w:rFonts w:ascii="Times New Roman" w:hAnsi="Times New Roman" w:cs="Times New Roman"/>
          <w:sz w:val="20"/>
          <w:szCs w:val="20"/>
        </w:rPr>
        <w:t>II</w:t>
      </w:r>
      <w:r w:rsidRPr="006966AC">
        <w:rPr>
          <w:rFonts w:ascii="Times New Roman" w:hAnsi="Times New Roman" w:cs="Times New Roman"/>
          <w:sz w:val="20"/>
          <w:szCs w:val="20"/>
        </w:rPr>
        <w:t>I.</w:t>
      </w:r>
    </w:p>
    <w:p w14:paraId="68BFD192" w14:textId="4AC4B3C8" w:rsidR="000916EC" w:rsidRPr="00B96465" w:rsidRDefault="000916EC" w:rsidP="000916EC">
      <w:pPr>
        <w:jc w:val="both"/>
        <w:rPr>
          <w:rFonts w:ascii="Times New Roman" w:hAnsi="Times New Roman" w:cs="Times New Roman"/>
          <w:sz w:val="20"/>
          <w:szCs w:val="20"/>
        </w:rPr>
      </w:pPr>
      <w:r w:rsidRPr="00B96465">
        <w:rPr>
          <w:rFonts w:ascii="Times New Roman" w:hAnsi="Times New Roman" w:cs="Times New Roman"/>
          <w:sz w:val="20"/>
          <w:szCs w:val="20"/>
        </w:rPr>
        <w:t xml:space="preserve">This annex relates to quarterly and annual submission of information for </w:t>
      </w:r>
      <w:r w:rsidR="00DE1383">
        <w:rPr>
          <w:rFonts w:ascii="Times New Roman" w:hAnsi="Times New Roman" w:cs="Times New Roman"/>
          <w:sz w:val="20"/>
          <w:szCs w:val="20"/>
        </w:rPr>
        <w:t>third countries branches</w:t>
      </w:r>
      <w:r w:rsidRPr="00B96465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872"/>
        <w:gridCol w:w="2046"/>
        <w:gridCol w:w="5013"/>
      </w:tblGrid>
      <w:tr w:rsidR="006646AF" w:rsidRPr="00B96465" w14:paraId="68BFD196" w14:textId="77777777" w:rsidTr="008059C7">
        <w:trPr>
          <w:trHeight w:val="285"/>
        </w:trPr>
        <w:tc>
          <w:tcPr>
            <w:tcW w:w="1872" w:type="dxa"/>
            <w:noWrap/>
            <w:hideMark/>
          </w:tcPr>
          <w:p w14:paraId="68BFD193" w14:textId="77777777" w:rsidR="00F22EA6" w:rsidRPr="00B02D47" w:rsidRDefault="00F22EA6" w:rsidP="00F22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hideMark/>
          </w:tcPr>
          <w:p w14:paraId="68BFD194" w14:textId="77777777"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013" w:type="dxa"/>
            <w:hideMark/>
          </w:tcPr>
          <w:p w14:paraId="68BFD195" w14:textId="77777777" w:rsidR="00F22EA6" w:rsidRPr="00B02D47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6646AF" w:rsidRPr="00B02D47" w14:paraId="68BFD19A" w14:textId="77777777" w:rsidTr="008059C7">
        <w:trPr>
          <w:trHeight w:val="675"/>
        </w:trPr>
        <w:tc>
          <w:tcPr>
            <w:tcW w:w="1872" w:type="dxa"/>
          </w:tcPr>
          <w:p w14:paraId="68BFD197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98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Undertaking</w:t>
            </w:r>
          </w:p>
        </w:tc>
        <w:tc>
          <w:tcPr>
            <w:tcW w:w="5013" w:type="dxa"/>
          </w:tcPr>
          <w:p w14:paraId="68BFD199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Undertaking.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14:paraId="68BFD19E" w14:textId="77777777" w:rsidTr="008059C7">
        <w:trPr>
          <w:trHeight w:val="675"/>
        </w:trPr>
        <w:tc>
          <w:tcPr>
            <w:tcW w:w="1872" w:type="dxa"/>
          </w:tcPr>
          <w:p w14:paraId="68BFD19B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046" w:type="dxa"/>
          </w:tcPr>
          <w:p w14:paraId="68BFD19C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Undertaking</w:t>
            </w:r>
          </w:p>
        </w:tc>
        <w:tc>
          <w:tcPr>
            <w:tcW w:w="5013" w:type="dxa"/>
          </w:tcPr>
          <w:p w14:paraId="68BFD19D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third country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undertaki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ng was authorised </w:t>
            </w:r>
          </w:p>
        </w:tc>
      </w:tr>
      <w:tr w:rsidR="006646AF" w:rsidRPr="00B02D47" w14:paraId="68BFD1A3" w14:textId="77777777" w:rsidTr="008059C7">
        <w:trPr>
          <w:trHeight w:val="675"/>
        </w:trPr>
        <w:tc>
          <w:tcPr>
            <w:tcW w:w="1872" w:type="dxa"/>
          </w:tcPr>
          <w:p w14:paraId="68BFD19F" w14:textId="77777777" w:rsid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BFD1A0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1A1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Third Country branch</w:t>
            </w:r>
          </w:p>
        </w:tc>
        <w:tc>
          <w:tcPr>
            <w:tcW w:w="5013" w:type="dxa"/>
          </w:tcPr>
          <w:p w14:paraId="68BFD1A2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branch. Needs to be consistent over different submissions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46AF" w:rsidRPr="00B02D47" w14:paraId="68BFD1A7" w14:textId="77777777" w:rsidTr="008059C7">
        <w:trPr>
          <w:trHeight w:val="675"/>
        </w:trPr>
        <w:tc>
          <w:tcPr>
            <w:tcW w:w="1872" w:type="dxa"/>
          </w:tcPr>
          <w:p w14:paraId="68BFD1A4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A5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Third Country branch</w:t>
            </w:r>
          </w:p>
        </w:tc>
        <w:tc>
          <w:tcPr>
            <w:tcW w:w="5013" w:type="dxa"/>
          </w:tcPr>
          <w:p w14:paraId="68BFD1A6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country where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third country branch was authorised</w:t>
            </w:r>
          </w:p>
        </w:tc>
      </w:tr>
      <w:tr w:rsidR="006646AF" w:rsidRPr="00B02D47" w14:paraId="68BFD1AB" w14:textId="77777777" w:rsidTr="008059C7">
        <w:trPr>
          <w:trHeight w:val="982"/>
        </w:trPr>
        <w:tc>
          <w:tcPr>
            <w:tcW w:w="1872" w:type="dxa"/>
            <w:hideMark/>
          </w:tcPr>
          <w:p w14:paraId="68BFD1A8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C0010/R0050</w:t>
            </w:r>
          </w:p>
        </w:tc>
        <w:tc>
          <w:tcPr>
            <w:tcW w:w="2046" w:type="dxa"/>
            <w:hideMark/>
          </w:tcPr>
          <w:p w14:paraId="68BFD1A9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the third country branch</w:t>
            </w:r>
          </w:p>
        </w:tc>
        <w:tc>
          <w:tcPr>
            <w:tcW w:w="5013" w:type="dxa"/>
            <w:hideMark/>
          </w:tcPr>
          <w:p w14:paraId="68BFD1AA" w14:textId="7C7132DD" w:rsidR="00B02D47" w:rsidRPr="00B02D47" w:rsidRDefault="00B02D47" w:rsidP="00FC4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, using the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Entity Identifier (LEI)</w:t>
            </w:r>
            <w:r w:rsidR="00FC40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46AF" w:rsidRPr="00B96465" w14:paraId="68BFD1B6" w14:textId="77777777" w:rsidTr="008059C7">
        <w:trPr>
          <w:trHeight w:val="570"/>
        </w:trPr>
        <w:tc>
          <w:tcPr>
            <w:tcW w:w="1872" w:type="dxa"/>
            <w:hideMark/>
          </w:tcPr>
          <w:p w14:paraId="68BFD1B3" w14:textId="77777777" w:rsidR="00B02D47" w:rsidRPr="00B02D47" w:rsidRDefault="00B02D47" w:rsidP="0066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B4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Language of reporting</w:t>
            </w:r>
          </w:p>
        </w:tc>
        <w:tc>
          <w:tcPr>
            <w:tcW w:w="5013" w:type="dxa"/>
            <w:hideMark/>
          </w:tcPr>
          <w:p w14:paraId="68BFD1B5" w14:textId="20F5FCC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7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 xml:space="preserve">letter code of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ISO 639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code of the language used in the submission of information</w:t>
            </w:r>
          </w:p>
        </w:tc>
      </w:tr>
      <w:tr w:rsidR="006646AF" w:rsidRPr="00B96465" w14:paraId="68BFD1BA" w14:textId="77777777" w:rsidTr="008059C7">
        <w:trPr>
          <w:trHeight w:val="360"/>
        </w:trPr>
        <w:tc>
          <w:tcPr>
            <w:tcW w:w="1872" w:type="dxa"/>
            <w:hideMark/>
          </w:tcPr>
          <w:p w14:paraId="68BFD1B7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B8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submission date</w:t>
            </w:r>
          </w:p>
        </w:tc>
        <w:tc>
          <w:tcPr>
            <w:tcW w:w="5013" w:type="dxa"/>
            <w:hideMark/>
          </w:tcPr>
          <w:p w14:paraId="68BFD1B9" w14:textId="77777777"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-mm-dd) code of the date when the report to the supervisory authority is made</w:t>
            </w:r>
          </w:p>
        </w:tc>
      </w:tr>
      <w:tr w:rsidR="00FC1776" w:rsidRPr="00B96465" w14:paraId="1CA85D95" w14:textId="77777777" w:rsidTr="008059C7">
        <w:trPr>
          <w:trHeight w:val="360"/>
        </w:trPr>
        <w:tc>
          <w:tcPr>
            <w:tcW w:w="1872" w:type="dxa"/>
          </w:tcPr>
          <w:p w14:paraId="70CAF6B1" w14:textId="32879D98" w:rsidR="00FC1776" w:rsidRPr="00FC1776" w:rsidRDefault="00FC1776" w:rsidP="00FC1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EF">
              <w:rPr>
                <w:rFonts w:ascii="Times New Roman" w:hAnsi="Times New Roman" w:cs="Times New Roman"/>
                <w:sz w:val="20"/>
                <w:szCs w:val="20"/>
              </w:rPr>
              <w:t>C0010/R0081</w:t>
            </w:r>
          </w:p>
        </w:tc>
        <w:tc>
          <w:tcPr>
            <w:tcW w:w="2046" w:type="dxa"/>
          </w:tcPr>
          <w:p w14:paraId="3566CCD4" w14:textId="356BADB3" w:rsidR="00FC1776" w:rsidRPr="00FC1776" w:rsidRDefault="00FC1776" w:rsidP="00FC1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EF">
              <w:rPr>
                <w:rFonts w:ascii="Times New Roman" w:hAnsi="Times New Roman" w:cs="Times New Roman"/>
                <w:sz w:val="20"/>
                <w:szCs w:val="20"/>
              </w:rPr>
              <w:t>Financial year end</w:t>
            </w:r>
          </w:p>
        </w:tc>
        <w:tc>
          <w:tcPr>
            <w:tcW w:w="5013" w:type="dxa"/>
          </w:tcPr>
          <w:p w14:paraId="43CCA37A" w14:textId="12863CA3" w:rsidR="00FC1776" w:rsidRPr="00FC1776" w:rsidRDefault="00FC1776" w:rsidP="00FC1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0EF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9A00EF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9A00EF">
              <w:rPr>
                <w:rFonts w:ascii="Times New Roman" w:hAnsi="Times New Roman" w:cs="Times New Roman"/>
                <w:sz w:val="20"/>
                <w:szCs w:val="20"/>
              </w:rPr>
              <w:t>–mm–dd) code of the financial year end of the undertaking, e.g. 2017-12-31</w:t>
            </w:r>
          </w:p>
        </w:tc>
      </w:tr>
      <w:tr w:rsidR="006646AF" w:rsidRPr="00B96465" w14:paraId="68BFD1BE" w14:textId="77777777" w:rsidTr="008059C7">
        <w:trPr>
          <w:trHeight w:val="402"/>
        </w:trPr>
        <w:tc>
          <w:tcPr>
            <w:tcW w:w="1872" w:type="dxa"/>
            <w:hideMark/>
          </w:tcPr>
          <w:p w14:paraId="68BFD1BB" w14:textId="17EF2866" w:rsidR="00B02D47" w:rsidRPr="00B02D47" w:rsidRDefault="006633FA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4170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046" w:type="dxa"/>
            <w:hideMark/>
          </w:tcPr>
          <w:p w14:paraId="68BFD1BC" w14:textId="7777777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Reporting reference date</w:t>
            </w:r>
          </w:p>
        </w:tc>
        <w:tc>
          <w:tcPr>
            <w:tcW w:w="5013" w:type="dxa"/>
            <w:hideMark/>
          </w:tcPr>
          <w:p w14:paraId="68BFD1BD" w14:textId="77777777"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-mm-dd) code of the date identifying the last day of the reporting period</w:t>
            </w:r>
          </w:p>
        </w:tc>
      </w:tr>
      <w:tr w:rsidR="006646AF" w:rsidRPr="00B96465" w14:paraId="68BFD1C3" w14:textId="77777777" w:rsidTr="008059C7">
        <w:trPr>
          <w:trHeight w:val="1230"/>
        </w:trPr>
        <w:tc>
          <w:tcPr>
            <w:tcW w:w="1872" w:type="dxa"/>
            <w:hideMark/>
          </w:tcPr>
          <w:p w14:paraId="68BFD1BF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0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Regular/Ad-hoc submission</w:t>
            </w:r>
          </w:p>
        </w:tc>
        <w:tc>
          <w:tcPr>
            <w:tcW w:w="5013" w:type="dxa"/>
            <w:hideMark/>
          </w:tcPr>
          <w:p w14:paraId="68BFD1C1" w14:textId="77777777" w:rsidR="00B02D47" w:rsidRPr="00B02D47" w:rsidRDefault="00B02D47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if the submission of information relates to regular submission of information or ad-hoc.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egular reporting</w:t>
            </w:r>
          </w:p>
          <w:p w14:paraId="621F6226" w14:textId="77777777" w:rsidR="00B02D47" w:rsidRPr="00562804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>- Ad-hoc reporting</w:t>
            </w:r>
          </w:p>
          <w:p w14:paraId="3AC6BF8F" w14:textId="77777777" w:rsidR="00033087" w:rsidRPr="00562804" w:rsidRDefault="0003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>3 – Re-submission of S.30 templates according to the Instructions</w:t>
            </w:r>
          </w:p>
          <w:p w14:paraId="68BFD1C2" w14:textId="4C2ECEF7" w:rsidR="00033087" w:rsidRPr="00B02D47" w:rsidRDefault="0003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 xml:space="preserve"> 4 – Empty submissions</w:t>
            </w:r>
          </w:p>
        </w:tc>
      </w:tr>
      <w:tr w:rsidR="006646AF" w:rsidRPr="00B96465" w14:paraId="68BFD1C7" w14:textId="77777777" w:rsidTr="008059C7">
        <w:trPr>
          <w:trHeight w:val="702"/>
        </w:trPr>
        <w:tc>
          <w:tcPr>
            <w:tcW w:w="1872" w:type="dxa"/>
            <w:hideMark/>
          </w:tcPr>
          <w:p w14:paraId="68BFD1C4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5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Currency used for reporting</w:t>
            </w:r>
          </w:p>
        </w:tc>
        <w:tc>
          <w:tcPr>
            <w:tcW w:w="5013" w:type="dxa"/>
            <w:hideMark/>
          </w:tcPr>
          <w:p w14:paraId="68BFD1C6" w14:textId="7777777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 of the monetary amounts used in each report</w:t>
            </w:r>
          </w:p>
        </w:tc>
      </w:tr>
      <w:tr w:rsidR="006646AF" w:rsidRPr="00B96465" w14:paraId="68BFD1CC" w14:textId="77777777" w:rsidTr="008059C7">
        <w:trPr>
          <w:trHeight w:val="1408"/>
        </w:trPr>
        <w:tc>
          <w:tcPr>
            <w:tcW w:w="1872" w:type="dxa"/>
            <w:hideMark/>
          </w:tcPr>
          <w:p w14:paraId="68BFD1C8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9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013" w:type="dxa"/>
            <w:hideMark/>
          </w:tcPr>
          <w:p w14:paraId="68BFD1CA" w14:textId="77777777" w:rsidR="00B02D47" w:rsidRPr="00B96465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Identification of the accounting standard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used for reporting items in S.02.01,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financial statements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valuation.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The undertaking is using IFRS</w:t>
            </w:r>
          </w:p>
          <w:p w14:paraId="68BFD1CB" w14:textId="77777777" w:rsidR="00B02D47" w:rsidRPr="00B02D47" w:rsidRDefault="00B02D47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 The undertaking is using local GAAP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(other than IFRS)</w:t>
            </w:r>
          </w:p>
        </w:tc>
      </w:tr>
      <w:tr w:rsidR="006646AF" w:rsidRPr="00B96465" w14:paraId="68BFD1D1" w14:textId="77777777" w:rsidTr="008059C7">
        <w:trPr>
          <w:trHeight w:val="1329"/>
        </w:trPr>
        <w:tc>
          <w:tcPr>
            <w:tcW w:w="1872" w:type="dxa"/>
            <w:hideMark/>
          </w:tcPr>
          <w:p w14:paraId="68BFD1CD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CE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Method of Calculation of the SCR</w:t>
            </w:r>
          </w:p>
        </w:tc>
        <w:tc>
          <w:tcPr>
            <w:tcW w:w="5013" w:type="dxa"/>
            <w:hideMark/>
          </w:tcPr>
          <w:p w14:paraId="68BFD1CF" w14:textId="77777777" w:rsidR="00B02D47" w:rsidRPr="00B96465" w:rsidRDefault="00F80D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D7E">
              <w:rPr>
                <w:rFonts w:ascii="Times New Roman" w:hAnsi="Times New Roman" w:cs="Times New Roman"/>
                <w:sz w:val="20"/>
                <w:szCs w:val="20"/>
              </w:rPr>
              <w:t>Identify the method used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to calculate the SCR. The following closed list of options shall be used: 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2D47" w:rsidRPr="00B96465">
              <w:rPr>
                <w:rFonts w:ascii="Times New Roman" w:hAnsi="Times New Roman" w:cs="Times New Roman"/>
                <w:sz w:val="20"/>
                <w:szCs w:val="20"/>
              </w:rPr>
              <w:t>Standard formula</w:t>
            </w:r>
          </w:p>
          <w:p w14:paraId="68BFD1D0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Full internal model</w:t>
            </w:r>
          </w:p>
        </w:tc>
      </w:tr>
      <w:tr w:rsidR="006646AF" w:rsidRPr="00B96465" w14:paraId="68BFD1D5" w14:textId="77777777" w:rsidTr="008059C7">
        <w:trPr>
          <w:trHeight w:val="981"/>
        </w:trPr>
        <w:tc>
          <w:tcPr>
            <w:tcW w:w="1872" w:type="dxa"/>
          </w:tcPr>
          <w:p w14:paraId="68BFD1D2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D3" w14:textId="77777777" w:rsidR="00B02D47" w:rsidRPr="00B02D47" w:rsidDel="007C757E" w:rsidRDefault="00B02D47" w:rsidP="00F80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Use of undertaking </w:t>
            </w:r>
            <w:r w:rsidR="00F80D7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80D7E"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pecific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5013" w:type="dxa"/>
          </w:tcPr>
          <w:p w14:paraId="68BFD1D4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undertaking specific parameters.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Use of undertaking specific parameters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Don’t use undertaking specific parameters</w:t>
            </w:r>
          </w:p>
        </w:tc>
      </w:tr>
      <w:tr w:rsidR="006646AF" w:rsidRPr="00B96465" w14:paraId="68BFD1D9" w14:textId="77777777" w:rsidTr="008059C7">
        <w:trPr>
          <w:trHeight w:val="1122"/>
        </w:trPr>
        <w:tc>
          <w:tcPr>
            <w:tcW w:w="1872" w:type="dxa"/>
            <w:hideMark/>
          </w:tcPr>
          <w:p w14:paraId="68BFD1D6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  <w:hideMark/>
          </w:tcPr>
          <w:p w14:paraId="68BFD1D7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Ring-Fenced Funds</w:t>
            </w:r>
          </w:p>
        </w:tc>
        <w:tc>
          <w:tcPr>
            <w:tcW w:w="5013" w:type="dxa"/>
            <w:hideMark/>
          </w:tcPr>
          <w:p w14:paraId="68BFD1D8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activity by Ring Fenced Funds (RFF).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eporting activity by RFF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- Not reporting activity by RFF</w:t>
            </w:r>
          </w:p>
        </w:tc>
      </w:tr>
      <w:tr w:rsidR="006646AF" w:rsidRPr="00B96465" w14:paraId="68BFD1DD" w14:textId="77777777" w:rsidTr="008059C7">
        <w:trPr>
          <w:trHeight w:val="1138"/>
        </w:trPr>
        <w:tc>
          <w:tcPr>
            <w:tcW w:w="1872" w:type="dxa"/>
          </w:tcPr>
          <w:p w14:paraId="68BFD1DA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DB" w14:textId="77777777" w:rsidR="00B02D47" w:rsidRPr="00B02D47" w:rsidRDefault="00B02D47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Matching adjustment</w:t>
            </w:r>
          </w:p>
        </w:tc>
        <w:tc>
          <w:tcPr>
            <w:tcW w:w="5013" w:type="dxa"/>
          </w:tcPr>
          <w:p w14:paraId="68BFD1DC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atching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matching adjustment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o use of matching adjustment</w:t>
            </w:r>
          </w:p>
        </w:tc>
      </w:tr>
      <w:tr w:rsidR="006646AF" w:rsidRPr="00B96465" w14:paraId="68BFD1E1" w14:textId="77777777" w:rsidTr="008059C7">
        <w:trPr>
          <w:trHeight w:val="1037"/>
        </w:trPr>
        <w:tc>
          <w:tcPr>
            <w:tcW w:w="1872" w:type="dxa"/>
          </w:tcPr>
          <w:p w14:paraId="68BFD1DE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DF" w14:textId="77777777" w:rsidR="00B02D47" w:rsidRPr="00B02D47" w:rsidRDefault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Volatility adjustment</w:t>
            </w:r>
          </w:p>
        </w:tc>
        <w:tc>
          <w:tcPr>
            <w:tcW w:w="5013" w:type="dxa"/>
          </w:tcPr>
          <w:p w14:paraId="68BFD1E0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1- Use of volatility adjustment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volatility adjustment</w:t>
            </w:r>
          </w:p>
        </w:tc>
      </w:tr>
      <w:tr w:rsidR="006646AF" w:rsidRPr="00B96465" w14:paraId="68BFD1E5" w14:textId="77777777" w:rsidTr="008059C7">
        <w:trPr>
          <w:trHeight w:val="1305"/>
        </w:trPr>
        <w:tc>
          <w:tcPr>
            <w:tcW w:w="1872" w:type="dxa"/>
          </w:tcPr>
          <w:p w14:paraId="68BFD1E2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C0010/R019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E3" w14:textId="77777777" w:rsidR="00B02D47" w:rsidRPr="00B02D47" w:rsidRDefault="00B02D47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</w:p>
        </w:tc>
        <w:tc>
          <w:tcPr>
            <w:tcW w:w="5013" w:type="dxa"/>
          </w:tcPr>
          <w:p w14:paraId="68BFD1E4" w14:textId="77777777"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Use of transitional measure on the risk-free interest rate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the risk-free interest rate</w:t>
            </w:r>
            <w:r w:rsidRPr="00B96465" w:rsidDel="00D84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46AF" w:rsidRPr="00B96465" w14:paraId="68BFD1E9" w14:textId="77777777" w:rsidTr="008059C7">
        <w:trPr>
          <w:trHeight w:val="1305"/>
        </w:trPr>
        <w:tc>
          <w:tcPr>
            <w:tcW w:w="1872" w:type="dxa"/>
          </w:tcPr>
          <w:p w14:paraId="68BFD1E6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6" w:type="dxa"/>
          </w:tcPr>
          <w:p w14:paraId="68BFD1E7" w14:textId="77777777" w:rsidR="00B02D47" w:rsidRPr="00B02D47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</w:p>
        </w:tc>
        <w:tc>
          <w:tcPr>
            <w:tcW w:w="5013" w:type="dxa"/>
          </w:tcPr>
          <w:p w14:paraId="68BFD1E8" w14:textId="77777777" w:rsidR="00B02D47" w:rsidRPr="00B02D47" w:rsidRDefault="00B02D47" w:rsidP="00910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the </w:t>
            </w:r>
            <w:r w:rsidR="00910B6A">
              <w:rPr>
                <w:rFonts w:ascii="Times New Roman" w:hAnsi="Times New Roman" w:cs="Times New Roman"/>
                <w:sz w:val="20"/>
                <w:szCs w:val="20"/>
              </w:rPr>
              <w:t>branch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is reporting figures using the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used: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1 -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transitional measure on technical provisions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646AF" w:rsidRPr="00B96465" w14:paraId="68BFD1F0" w14:textId="77777777" w:rsidTr="008059C7">
        <w:trPr>
          <w:trHeight w:val="1305"/>
        </w:trPr>
        <w:tc>
          <w:tcPr>
            <w:tcW w:w="1872" w:type="dxa"/>
          </w:tcPr>
          <w:p w14:paraId="68BFD1EA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BFD1EB" w14:textId="77777777" w:rsidR="00B02D47" w:rsidRPr="00B02D47" w:rsidRDefault="00B02D47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1EC" w14:textId="77777777" w:rsidR="00B02D47" w:rsidRPr="00B96465" w:rsidRDefault="00B02D47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Initial submission or re-submission</w:t>
            </w:r>
          </w:p>
        </w:tc>
        <w:tc>
          <w:tcPr>
            <w:tcW w:w="5013" w:type="dxa"/>
          </w:tcPr>
          <w:p w14:paraId="68BFD1ED" w14:textId="77777777" w:rsidR="00B02D47" w:rsidRPr="00562804" w:rsidRDefault="00B02D47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Identify if it is an initial submission of information or a re-submission of information in relation to a r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eporting reference date already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reported. The following closed list of </w:t>
            </w: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>options shall be used:</w:t>
            </w:r>
          </w:p>
          <w:p w14:paraId="68BFD1EE" w14:textId="77777777" w:rsidR="00B02D47" w:rsidRPr="00562804" w:rsidRDefault="00B02D47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>1 – Initial submission</w:t>
            </w:r>
          </w:p>
          <w:p w14:paraId="0018B6C4" w14:textId="52B3DC87" w:rsidR="00B02D47" w:rsidRPr="008059C7" w:rsidRDefault="00E03D3B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02D47" w:rsidRPr="008059C7">
              <w:rPr>
                <w:rFonts w:ascii="Times New Roman" w:hAnsi="Times New Roman" w:cs="Times New Roman"/>
                <w:sz w:val="20"/>
                <w:szCs w:val="20"/>
              </w:rPr>
              <w:t>Re-submission</w:t>
            </w:r>
          </w:p>
          <w:p w14:paraId="5E62E83F" w14:textId="592019AF" w:rsidR="00E03D3B" w:rsidRPr="008059C7" w:rsidRDefault="00E03D3B" w:rsidP="008059C7">
            <w:pPr>
              <w:widowControl w:val="0"/>
              <w:tabs>
                <w:tab w:val="left" w:pos="1245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059C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Re-submission</w:t>
            </w:r>
            <w:r w:rsidRPr="008059C7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8059C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S.30</w:t>
            </w:r>
            <w:r w:rsidRPr="008059C7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templates</w:t>
            </w:r>
            <w:r w:rsidRPr="008059C7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5628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accordance</w:t>
            </w:r>
            <w:r w:rsidRPr="008059C7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r w:rsidRPr="008059C7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instructions</w:t>
            </w:r>
            <w:r w:rsidRPr="008059C7">
              <w:rPr>
                <w:rFonts w:ascii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8059C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="00900EA5" w:rsidRPr="008059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pacing w:val="-74"/>
                <w:sz w:val="20"/>
                <w:szCs w:val="20"/>
              </w:rPr>
              <w:t xml:space="preserve"> </w:t>
            </w:r>
            <w:r w:rsidR="00900EA5" w:rsidRPr="008059C7">
              <w:rPr>
                <w:rFonts w:ascii="Times New Roman" w:hAnsi="Times New Roman" w:cs="Times New Roman"/>
                <w:spacing w:val="-74"/>
                <w:sz w:val="20"/>
                <w:szCs w:val="20"/>
              </w:rPr>
              <w:t xml:space="preserve">   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template</w:t>
            </w:r>
          </w:p>
          <w:p w14:paraId="68BFD1EF" w14:textId="115DB29A" w:rsidR="00E03D3B" w:rsidRPr="00B96465" w:rsidRDefault="00E03D3B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8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059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Empty</w:t>
            </w:r>
            <w:r w:rsidRPr="008059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submission</w:t>
            </w:r>
          </w:p>
        </w:tc>
      </w:tr>
      <w:tr w:rsidR="00C4124C" w:rsidRPr="00C4124C" w14:paraId="68BFD1F6" w14:textId="77777777" w:rsidTr="008059C7">
        <w:trPr>
          <w:trHeight w:val="1248"/>
        </w:trPr>
        <w:tc>
          <w:tcPr>
            <w:tcW w:w="1872" w:type="dxa"/>
            <w:hideMark/>
          </w:tcPr>
          <w:p w14:paraId="68BFD1F1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C0010/R0220</w:t>
            </w:r>
          </w:p>
          <w:p w14:paraId="68BFD1F2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  <w:hideMark/>
          </w:tcPr>
          <w:p w14:paraId="68BFD1F3" w14:textId="77777777" w:rsidR="006633FA" w:rsidRPr="00C4124C" w:rsidRDefault="006633FA" w:rsidP="0048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Type of branch</w:t>
            </w:r>
          </w:p>
        </w:tc>
        <w:tc>
          <w:tcPr>
            <w:tcW w:w="5013" w:type="dxa"/>
            <w:hideMark/>
          </w:tcPr>
          <w:p w14:paraId="636DBB54" w14:textId="3F8624F8" w:rsidR="00562804" w:rsidRDefault="003A0FD2" w:rsidP="005628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Identify the type of insurance business taken by the reporting third-country</w:t>
            </w:r>
            <w:r w:rsidRPr="008059C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undertaking through an EU branch. The following closed list of options shall be</w:t>
            </w:r>
            <w:r w:rsidR="00900E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pacing w:val="-75"/>
                <w:sz w:val="20"/>
                <w:szCs w:val="20"/>
              </w:rPr>
              <w:t xml:space="preserve"> </w:t>
            </w:r>
            <w:r w:rsidR="007B17C2">
              <w:rPr>
                <w:rFonts w:ascii="Times New Roman" w:hAnsi="Times New Roman" w:cs="Times New Roman"/>
                <w:spacing w:val="-75"/>
                <w:sz w:val="20"/>
                <w:szCs w:val="20"/>
              </w:rPr>
              <w:t xml:space="preserve">   </w:t>
            </w:r>
            <w:r w:rsidR="00900EA5">
              <w:rPr>
                <w:rFonts w:ascii="Times New Roman" w:hAnsi="Times New Roman" w:cs="Times New Roman"/>
                <w:spacing w:val="-75"/>
                <w:sz w:val="20"/>
                <w:szCs w:val="20"/>
              </w:rPr>
              <w:t xml:space="preserve">        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used</w:t>
            </w:r>
            <w:r w:rsidRPr="008059C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8059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identify the activity</w:t>
            </w:r>
            <w:r w:rsidRPr="008059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8059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059C7">
              <w:rPr>
                <w:rFonts w:ascii="Times New Roman" w:hAnsi="Times New Roman" w:cs="Times New Roman"/>
                <w:sz w:val="20"/>
                <w:szCs w:val="20"/>
              </w:rPr>
              <w:t>the branch:</w:t>
            </w:r>
          </w:p>
          <w:p w14:paraId="68BFD1F4" w14:textId="3700C9B1" w:rsidR="006633FA" w:rsidRPr="00C4124C" w:rsidRDefault="006633FA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br/>
              <w:t>2 - Life branch</w:t>
            </w:r>
          </w:p>
          <w:p w14:paraId="248EDCE0" w14:textId="77777777" w:rsidR="006633FA" w:rsidRDefault="006633FA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24C">
              <w:rPr>
                <w:rFonts w:ascii="Times New Roman" w:hAnsi="Times New Roman" w:cs="Times New Roman"/>
                <w:sz w:val="20"/>
                <w:szCs w:val="20"/>
              </w:rPr>
              <w:t>3 - Non-Life branch</w:t>
            </w:r>
          </w:p>
          <w:p w14:paraId="15A64647" w14:textId="77777777" w:rsidR="003A0FD2" w:rsidRDefault="003A0FD2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 Branches pursuing both life and non-life insurance activity – article 73(2)</w:t>
            </w:r>
          </w:p>
          <w:p w14:paraId="68BFD1F5" w14:textId="41FB1480" w:rsidR="003A0FD2" w:rsidRPr="00C4124C" w:rsidRDefault="003A0FD2" w:rsidP="00805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 Branches pursuing both life and non-life insurance activity – article 73 (5)</w:t>
            </w:r>
          </w:p>
        </w:tc>
      </w:tr>
      <w:tr w:rsidR="006646AF" w:rsidRPr="00B02D47" w14:paraId="68BFD1FD" w14:textId="77777777" w:rsidTr="008059C7">
        <w:trPr>
          <w:trHeight w:val="1012"/>
        </w:trPr>
        <w:tc>
          <w:tcPr>
            <w:tcW w:w="1872" w:type="dxa"/>
          </w:tcPr>
          <w:p w14:paraId="68BFD1F7" w14:textId="3A1A937E" w:rsidR="00B02D47" w:rsidRPr="00B02D47" w:rsidRDefault="0041707E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>/R02</w:t>
            </w:r>
            <w:r w:rsidR="006633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02D47" w:rsidRPr="00B02D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BFD1F8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1F9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Article 167</w:t>
            </w:r>
          </w:p>
        </w:tc>
        <w:tc>
          <w:tcPr>
            <w:tcW w:w="5013" w:type="dxa"/>
          </w:tcPr>
          <w:p w14:paraId="68BFD1FA" w14:textId="77777777" w:rsidR="00B02D47" w:rsidRPr="00B96465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Identify if article 167 is applicable.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used:</w:t>
            </w:r>
          </w:p>
          <w:p w14:paraId="68BFD1FB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1 – Article 167 is applied</w:t>
            </w:r>
          </w:p>
          <w:p w14:paraId="68BFD1FC" w14:textId="77777777" w:rsidR="00B02D47" w:rsidRPr="00B02D47" w:rsidRDefault="00B02D47" w:rsidP="006646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2 – Article 167 is not applied</w:t>
            </w:r>
          </w:p>
        </w:tc>
      </w:tr>
      <w:tr w:rsidR="00770E10" w:rsidRPr="00B02D47" w14:paraId="68446520" w14:textId="77777777" w:rsidTr="008059C7">
        <w:trPr>
          <w:trHeight w:val="1012"/>
        </w:trPr>
        <w:tc>
          <w:tcPr>
            <w:tcW w:w="1872" w:type="dxa"/>
          </w:tcPr>
          <w:p w14:paraId="0C947243" w14:textId="52A894D3" w:rsidR="00770E10" w:rsidRPr="00B02D47" w:rsidDel="0041707E" w:rsidRDefault="00770E10" w:rsidP="0077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7B">
              <w:rPr>
                <w:rFonts w:ascii="Times New Roman" w:hAnsi="Times New Roman" w:cs="Times New Roman"/>
                <w:sz w:val="20"/>
                <w:szCs w:val="20"/>
              </w:rPr>
              <w:t>C0010/R0270</w:t>
            </w:r>
          </w:p>
        </w:tc>
        <w:tc>
          <w:tcPr>
            <w:tcW w:w="2046" w:type="dxa"/>
          </w:tcPr>
          <w:p w14:paraId="35F024F8" w14:textId="03D4453D" w:rsidR="00770E10" w:rsidRPr="00B02D47" w:rsidRDefault="00770E10" w:rsidP="0077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7B">
              <w:rPr>
                <w:rFonts w:ascii="Times New Roman" w:hAnsi="Times New Roman" w:cs="Times New Roman"/>
                <w:sz w:val="20"/>
                <w:szCs w:val="20"/>
              </w:rPr>
              <w:t>Captive Business</w:t>
            </w:r>
          </w:p>
        </w:tc>
        <w:tc>
          <w:tcPr>
            <w:tcW w:w="5013" w:type="dxa"/>
          </w:tcPr>
          <w:p w14:paraId="5AA0ABFD" w14:textId="77777777" w:rsidR="00770E10" w:rsidRPr="0088267B" w:rsidRDefault="00770E10" w:rsidP="00770E10">
            <w:pPr>
              <w:pStyle w:val="NormalLeft"/>
              <w:jc w:val="both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88267B">
              <w:rPr>
                <w:rFonts w:eastAsiaTheme="minorHAnsi"/>
                <w:sz w:val="20"/>
                <w:szCs w:val="20"/>
                <w:lang w:val="en-GB" w:eastAsia="en-US"/>
              </w:rPr>
              <w:t>Identify if the undertaking performs a captive business in line with the definition in Article 13 of Directive 2009/138/EC.</w:t>
            </w:r>
          </w:p>
          <w:p w14:paraId="60F2F268" w14:textId="77777777" w:rsidR="00770E10" w:rsidRPr="0088267B" w:rsidRDefault="00770E10" w:rsidP="00770E10">
            <w:pPr>
              <w:pStyle w:val="NormalLeft"/>
              <w:jc w:val="both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88267B">
              <w:rPr>
                <w:rFonts w:eastAsiaTheme="minorHAnsi"/>
                <w:sz w:val="20"/>
                <w:szCs w:val="20"/>
                <w:lang w:val="en-GB" w:eastAsia="en-US"/>
              </w:rPr>
              <w:t>1 – Captive business</w:t>
            </w:r>
          </w:p>
          <w:p w14:paraId="58C71383" w14:textId="634A7664" w:rsidR="00770E10" w:rsidRPr="00B02D47" w:rsidRDefault="00770E10" w:rsidP="0077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7B">
              <w:rPr>
                <w:rFonts w:ascii="Times New Roman" w:hAnsi="Times New Roman" w:cs="Times New Roman"/>
                <w:sz w:val="20"/>
                <w:szCs w:val="20"/>
              </w:rPr>
              <w:t>2 – No captive business</w:t>
            </w:r>
          </w:p>
        </w:tc>
      </w:tr>
      <w:tr w:rsidR="00770E10" w:rsidRPr="00B02D47" w14:paraId="4C53DFF6" w14:textId="77777777" w:rsidTr="008059C7">
        <w:trPr>
          <w:trHeight w:val="1012"/>
        </w:trPr>
        <w:tc>
          <w:tcPr>
            <w:tcW w:w="1872" w:type="dxa"/>
          </w:tcPr>
          <w:p w14:paraId="38321D03" w14:textId="3AACC8C6" w:rsidR="00770E10" w:rsidRPr="00B02D47" w:rsidDel="0041707E" w:rsidRDefault="00770E10" w:rsidP="0077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7B">
              <w:rPr>
                <w:rFonts w:ascii="Times New Roman" w:hAnsi="Times New Roman" w:cs="Times New Roman"/>
                <w:sz w:val="20"/>
                <w:szCs w:val="20"/>
              </w:rPr>
              <w:t>C0010/R0280</w:t>
            </w:r>
          </w:p>
        </w:tc>
        <w:tc>
          <w:tcPr>
            <w:tcW w:w="2046" w:type="dxa"/>
          </w:tcPr>
          <w:p w14:paraId="758FDA92" w14:textId="119F23BB" w:rsidR="00770E10" w:rsidRPr="00B02D47" w:rsidRDefault="00770E10" w:rsidP="0077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7B">
              <w:rPr>
                <w:rFonts w:ascii="Times New Roman" w:hAnsi="Times New Roman" w:cs="Times New Roman"/>
                <w:sz w:val="20"/>
                <w:szCs w:val="20"/>
              </w:rPr>
              <w:t xml:space="preserve">Run-Off Business </w:t>
            </w:r>
          </w:p>
        </w:tc>
        <w:tc>
          <w:tcPr>
            <w:tcW w:w="5013" w:type="dxa"/>
          </w:tcPr>
          <w:p w14:paraId="212A8192" w14:textId="77777777" w:rsidR="00770E10" w:rsidRPr="0088267B" w:rsidRDefault="00770E10" w:rsidP="00770E10">
            <w:pPr>
              <w:pStyle w:val="NormalLeft"/>
              <w:jc w:val="both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88267B">
              <w:rPr>
                <w:rFonts w:eastAsiaTheme="minorHAnsi"/>
                <w:sz w:val="20"/>
                <w:szCs w:val="20"/>
                <w:lang w:val="en-GB" w:eastAsia="en-US"/>
              </w:rPr>
              <w:t xml:space="preserve">This item does not apply to the undertakings whose licence has been withdrawn. </w:t>
            </w:r>
          </w:p>
          <w:p w14:paraId="76B98033" w14:textId="77777777" w:rsidR="00770E10" w:rsidRPr="0088267B" w:rsidRDefault="00770E10" w:rsidP="00770E10">
            <w:pPr>
              <w:pStyle w:val="NormalLeft"/>
              <w:jc w:val="both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88267B">
              <w:rPr>
                <w:rFonts w:eastAsiaTheme="minorHAnsi"/>
                <w:sz w:val="20"/>
                <w:szCs w:val="20"/>
                <w:lang w:val="en-GB" w:eastAsia="en-US"/>
              </w:rPr>
              <w:t xml:space="preserve"> One of the options in the following closed list shall be used:</w:t>
            </w:r>
          </w:p>
          <w:p w14:paraId="45780D47" w14:textId="745C4723" w:rsidR="00770E10" w:rsidRPr="0088267B" w:rsidRDefault="00770E10" w:rsidP="00770E10">
            <w:pPr>
              <w:pStyle w:val="NormalLeft"/>
              <w:jc w:val="both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88267B">
              <w:rPr>
                <w:rFonts w:eastAsiaTheme="minorHAnsi"/>
                <w:sz w:val="20"/>
                <w:szCs w:val="20"/>
                <w:lang w:val="en-GB" w:eastAsia="en-US"/>
              </w:rPr>
              <w:t xml:space="preserve">1 – Undertakings running-off a portfolio of contracts but not their whole business (partial run-off undertaking or undertaking with run-off portfolio); </w:t>
            </w:r>
          </w:p>
          <w:p w14:paraId="29A2343C" w14:textId="26DBBDD7" w:rsidR="00770E10" w:rsidRPr="0088267B" w:rsidRDefault="00770E10" w:rsidP="00770E10">
            <w:pPr>
              <w:pStyle w:val="NormalLeft"/>
              <w:jc w:val="both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88267B">
              <w:rPr>
                <w:rFonts w:eastAsiaTheme="minorHAnsi"/>
                <w:sz w:val="20"/>
                <w:szCs w:val="20"/>
                <w:lang w:val="en-GB" w:eastAsia="en-US"/>
              </w:rPr>
              <w:t>2 – Undertakings running-off their whole (previous) business (full run-off undertaking);</w:t>
            </w:r>
          </w:p>
          <w:p w14:paraId="4EBABAA9" w14:textId="709275E5" w:rsidR="00770E10" w:rsidRPr="0088267B" w:rsidRDefault="00770E10" w:rsidP="00770E10">
            <w:pPr>
              <w:pStyle w:val="NormalLeft"/>
              <w:jc w:val="both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88267B">
              <w:rPr>
                <w:rFonts w:eastAsiaTheme="minorHAnsi"/>
                <w:sz w:val="20"/>
                <w:szCs w:val="20"/>
                <w:lang w:val="en-GB" w:eastAsia="en-US"/>
              </w:rPr>
              <w:t>3 – Undertakings with a run-off business model (specialised run-off undertakings) - insurance undertakings or groups whose business model is to actively acquire legacy portfolios or whole insurers in run-off;</w:t>
            </w:r>
          </w:p>
          <w:p w14:paraId="2AC1151E" w14:textId="09D96183" w:rsidR="00770E10" w:rsidRPr="00B02D47" w:rsidRDefault="00770E10" w:rsidP="0077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7B">
              <w:rPr>
                <w:rFonts w:ascii="Times New Roman" w:hAnsi="Times New Roman" w:cs="Times New Roman"/>
                <w:sz w:val="20"/>
                <w:szCs w:val="20"/>
              </w:rPr>
              <w:t>4 – No run-off business.</w:t>
            </w:r>
          </w:p>
        </w:tc>
      </w:tr>
      <w:tr w:rsidR="006646AF" w:rsidRPr="00B02D47" w14:paraId="68BFD202" w14:textId="77777777" w:rsidTr="008059C7">
        <w:trPr>
          <w:trHeight w:val="629"/>
        </w:trPr>
        <w:tc>
          <w:tcPr>
            <w:tcW w:w="1872" w:type="dxa"/>
          </w:tcPr>
          <w:p w14:paraId="68BFD1FE" w14:textId="0F2E4291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284FC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68BFD1FF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200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Name of the branch included in article 167</w:t>
            </w:r>
          </w:p>
        </w:tc>
        <w:tc>
          <w:tcPr>
            <w:tcW w:w="5013" w:type="dxa"/>
          </w:tcPr>
          <w:p w14:paraId="68BFD201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Legal name of the Third Country branch covered by article 167</w:t>
            </w:r>
          </w:p>
        </w:tc>
      </w:tr>
      <w:tr w:rsidR="006646AF" w:rsidRPr="00B02D47" w14:paraId="68BFD207" w14:textId="77777777" w:rsidTr="008059C7">
        <w:trPr>
          <w:trHeight w:val="591"/>
        </w:trPr>
        <w:tc>
          <w:tcPr>
            <w:tcW w:w="1872" w:type="dxa"/>
          </w:tcPr>
          <w:p w14:paraId="29BB9CD4" w14:textId="706F8310" w:rsidR="003A0FD2" w:rsidRPr="00B02D47" w:rsidRDefault="003A0FD2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C0040/R0240</w:t>
            </w:r>
          </w:p>
          <w:p w14:paraId="68BFD204" w14:textId="77777777" w:rsidR="00B02D47" w:rsidRPr="00B02D47" w:rsidRDefault="00B02D47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8BFD205" w14:textId="77777777" w:rsidR="00B02D47" w:rsidRPr="00B02D47" w:rsidRDefault="00B02D47" w:rsidP="001059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Country of the branch included in article 167</w:t>
            </w:r>
          </w:p>
        </w:tc>
        <w:tc>
          <w:tcPr>
            <w:tcW w:w="5013" w:type="dxa"/>
          </w:tcPr>
          <w:p w14:paraId="68BFD206" w14:textId="77777777" w:rsidR="00B02D47" w:rsidRPr="00B02D47" w:rsidRDefault="00B02D47" w:rsidP="00B02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Identify the ISO 3166 code of the countr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each third country branch </w:t>
            </w:r>
            <w:r w:rsidRPr="00B02D47">
              <w:rPr>
                <w:rFonts w:ascii="Times New Roman" w:hAnsi="Times New Roman" w:cs="Times New Roman"/>
                <w:sz w:val="20"/>
                <w:szCs w:val="20"/>
              </w:rPr>
              <w:t>covered by article 167</w:t>
            </w:r>
          </w:p>
        </w:tc>
      </w:tr>
    </w:tbl>
    <w:p w14:paraId="68BFD208" w14:textId="77777777" w:rsidR="00BB7862" w:rsidRDefault="00BB7862"/>
    <w:sectPr w:rsidR="00BB7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46F4C" w14:textId="77777777" w:rsidR="000F64A5" w:rsidRDefault="000F64A5" w:rsidP="00FD22CE">
      <w:pPr>
        <w:spacing w:after="0" w:line="240" w:lineRule="auto"/>
      </w:pPr>
      <w:r>
        <w:separator/>
      </w:r>
    </w:p>
  </w:endnote>
  <w:endnote w:type="continuationSeparator" w:id="0">
    <w:p w14:paraId="50651C28" w14:textId="77777777" w:rsidR="000F64A5" w:rsidRDefault="000F64A5" w:rsidP="00FD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469B5" w14:textId="77777777" w:rsidR="000F64A5" w:rsidRDefault="000F64A5" w:rsidP="00FD22CE">
      <w:pPr>
        <w:spacing w:after="0" w:line="240" w:lineRule="auto"/>
      </w:pPr>
      <w:r>
        <w:separator/>
      </w:r>
    </w:p>
  </w:footnote>
  <w:footnote w:type="continuationSeparator" w:id="0">
    <w:p w14:paraId="245FC241" w14:textId="77777777" w:rsidR="000F64A5" w:rsidRDefault="000F64A5" w:rsidP="00FD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A84"/>
    <w:multiLevelType w:val="hybridMultilevel"/>
    <w:tmpl w:val="9508EAFE"/>
    <w:lvl w:ilvl="0" w:tplc="F94C6C9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261FF"/>
    <w:multiLevelType w:val="hybridMultilevel"/>
    <w:tmpl w:val="58A2AF5E"/>
    <w:lvl w:ilvl="0" w:tplc="2EF03DAC">
      <w:start w:val="3"/>
      <w:numFmt w:val="decimal"/>
      <w:lvlText w:val="%1"/>
      <w:lvlJc w:val="left"/>
      <w:pPr>
        <w:ind w:left="985" w:hanging="260"/>
        <w:jc w:val="left"/>
      </w:pPr>
      <w:rPr>
        <w:rFonts w:ascii="Times New Roman" w:eastAsia="Verdana" w:hAnsi="Times New Roman" w:cs="Times New Roman" w:hint="default"/>
        <w:w w:val="100"/>
        <w:sz w:val="20"/>
        <w:szCs w:val="20"/>
        <w:lang w:val="en-US" w:eastAsia="en-US" w:bidi="ar-SA"/>
      </w:rPr>
    </w:lvl>
    <w:lvl w:ilvl="1" w:tplc="0AFEFDC6">
      <w:numFmt w:val="bullet"/>
      <w:lvlText w:val="•"/>
      <w:lvlJc w:val="left"/>
      <w:pPr>
        <w:ind w:left="1906" w:hanging="260"/>
      </w:pPr>
      <w:rPr>
        <w:rFonts w:hint="default"/>
        <w:lang w:val="en-US" w:eastAsia="en-US" w:bidi="ar-SA"/>
      </w:rPr>
    </w:lvl>
    <w:lvl w:ilvl="2" w:tplc="1B12E2AE">
      <w:numFmt w:val="bullet"/>
      <w:lvlText w:val="•"/>
      <w:lvlJc w:val="left"/>
      <w:pPr>
        <w:ind w:left="2833" w:hanging="260"/>
      </w:pPr>
      <w:rPr>
        <w:rFonts w:hint="default"/>
        <w:lang w:val="en-US" w:eastAsia="en-US" w:bidi="ar-SA"/>
      </w:rPr>
    </w:lvl>
    <w:lvl w:ilvl="3" w:tplc="E58A6F62">
      <w:numFmt w:val="bullet"/>
      <w:lvlText w:val="•"/>
      <w:lvlJc w:val="left"/>
      <w:pPr>
        <w:ind w:left="3759" w:hanging="260"/>
      </w:pPr>
      <w:rPr>
        <w:rFonts w:hint="default"/>
        <w:lang w:val="en-US" w:eastAsia="en-US" w:bidi="ar-SA"/>
      </w:rPr>
    </w:lvl>
    <w:lvl w:ilvl="4" w:tplc="6650809E">
      <w:numFmt w:val="bullet"/>
      <w:lvlText w:val="•"/>
      <w:lvlJc w:val="left"/>
      <w:pPr>
        <w:ind w:left="4686" w:hanging="260"/>
      </w:pPr>
      <w:rPr>
        <w:rFonts w:hint="default"/>
        <w:lang w:val="en-US" w:eastAsia="en-US" w:bidi="ar-SA"/>
      </w:rPr>
    </w:lvl>
    <w:lvl w:ilvl="5" w:tplc="A2C4D18C">
      <w:numFmt w:val="bullet"/>
      <w:lvlText w:val="•"/>
      <w:lvlJc w:val="left"/>
      <w:pPr>
        <w:ind w:left="5613" w:hanging="260"/>
      </w:pPr>
      <w:rPr>
        <w:rFonts w:hint="default"/>
        <w:lang w:val="en-US" w:eastAsia="en-US" w:bidi="ar-SA"/>
      </w:rPr>
    </w:lvl>
    <w:lvl w:ilvl="6" w:tplc="6DF49CE6">
      <w:numFmt w:val="bullet"/>
      <w:lvlText w:val="•"/>
      <w:lvlJc w:val="left"/>
      <w:pPr>
        <w:ind w:left="6539" w:hanging="260"/>
      </w:pPr>
      <w:rPr>
        <w:rFonts w:hint="default"/>
        <w:lang w:val="en-US" w:eastAsia="en-US" w:bidi="ar-SA"/>
      </w:rPr>
    </w:lvl>
    <w:lvl w:ilvl="7" w:tplc="BB28931C">
      <w:numFmt w:val="bullet"/>
      <w:lvlText w:val="•"/>
      <w:lvlJc w:val="left"/>
      <w:pPr>
        <w:ind w:left="7466" w:hanging="260"/>
      </w:pPr>
      <w:rPr>
        <w:rFonts w:hint="default"/>
        <w:lang w:val="en-US" w:eastAsia="en-US" w:bidi="ar-SA"/>
      </w:rPr>
    </w:lvl>
    <w:lvl w:ilvl="8" w:tplc="16E490C2">
      <w:numFmt w:val="bullet"/>
      <w:lvlText w:val="•"/>
      <w:lvlJc w:val="left"/>
      <w:pPr>
        <w:ind w:left="8393" w:hanging="260"/>
      </w:pPr>
      <w:rPr>
        <w:rFonts w:hint="default"/>
        <w:lang w:val="en-US" w:eastAsia="en-US" w:bidi="ar-SA"/>
      </w:rPr>
    </w:lvl>
  </w:abstractNum>
  <w:abstractNum w:abstractNumId="2" w15:restartNumberingAfterBreak="0">
    <w:nsid w:val="666F75FE"/>
    <w:multiLevelType w:val="hybridMultilevel"/>
    <w:tmpl w:val="A6E40874"/>
    <w:lvl w:ilvl="0" w:tplc="C92AF9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679227">
    <w:abstractNumId w:val="2"/>
  </w:num>
  <w:num w:numId="2" w16cid:durableId="399717028">
    <w:abstractNumId w:val="1"/>
  </w:num>
  <w:num w:numId="3" w16cid:durableId="62300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22EA6"/>
    <w:rsid w:val="000228F0"/>
    <w:rsid w:val="00033087"/>
    <w:rsid w:val="00042F92"/>
    <w:rsid w:val="00056215"/>
    <w:rsid w:val="000579C2"/>
    <w:rsid w:val="00072A8B"/>
    <w:rsid w:val="000916EC"/>
    <w:rsid w:val="000E217A"/>
    <w:rsid w:val="000F32C2"/>
    <w:rsid w:val="000F64A5"/>
    <w:rsid w:val="0010651B"/>
    <w:rsid w:val="001242C7"/>
    <w:rsid w:val="00124ABE"/>
    <w:rsid w:val="00135512"/>
    <w:rsid w:val="001A0976"/>
    <w:rsid w:val="001A7774"/>
    <w:rsid w:val="001C17D1"/>
    <w:rsid w:val="002362B3"/>
    <w:rsid w:val="00284FC9"/>
    <w:rsid w:val="00294B94"/>
    <w:rsid w:val="002B23B6"/>
    <w:rsid w:val="002D193E"/>
    <w:rsid w:val="002D4E7E"/>
    <w:rsid w:val="00306091"/>
    <w:rsid w:val="0033626D"/>
    <w:rsid w:val="00347579"/>
    <w:rsid w:val="00367823"/>
    <w:rsid w:val="00375E19"/>
    <w:rsid w:val="0038374F"/>
    <w:rsid w:val="003A0FD2"/>
    <w:rsid w:val="0041707E"/>
    <w:rsid w:val="004171F0"/>
    <w:rsid w:val="00442C50"/>
    <w:rsid w:val="00452588"/>
    <w:rsid w:val="00456050"/>
    <w:rsid w:val="00466C67"/>
    <w:rsid w:val="00491417"/>
    <w:rsid w:val="004A6443"/>
    <w:rsid w:val="004B0E08"/>
    <w:rsid w:val="004B1646"/>
    <w:rsid w:val="004C7191"/>
    <w:rsid w:val="00507259"/>
    <w:rsid w:val="00507C1A"/>
    <w:rsid w:val="00562804"/>
    <w:rsid w:val="005C6A39"/>
    <w:rsid w:val="005D3986"/>
    <w:rsid w:val="005E4AE0"/>
    <w:rsid w:val="00623D3E"/>
    <w:rsid w:val="00627E5B"/>
    <w:rsid w:val="006633FA"/>
    <w:rsid w:val="006646AF"/>
    <w:rsid w:val="006A7211"/>
    <w:rsid w:val="00713844"/>
    <w:rsid w:val="00714C7E"/>
    <w:rsid w:val="0073541F"/>
    <w:rsid w:val="007674FF"/>
    <w:rsid w:val="00770E10"/>
    <w:rsid w:val="00771442"/>
    <w:rsid w:val="007B17C2"/>
    <w:rsid w:val="007C757E"/>
    <w:rsid w:val="008059C7"/>
    <w:rsid w:val="00813805"/>
    <w:rsid w:val="00856685"/>
    <w:rsid w:val="0088267B"/>
    <w:rsid w:val="0088437E"/>
    <w:rsid w:val="008927ED"/>
    <w:rsid w:val="008D055A"/>
    <w:rsid w:val="008D62DD"/>
    <w:rsid w:val="00900EA5"/>
    <w:rsid w:val="00904470"/>
    <w:rsid w:val="00910B6A"/>
    <w:rsid w:val="00915255"/>
    <w:rsid w:val="00932469"/>
    <w:rsid w:val="009350D6"/>
    <w:rsid w:val="0094050B"/>
    <w:rsid w:val="00947BBC"/>
    <w:rsid w:val="00954339"/>
    <w:rsid w:val="009675B8"/>
    <w:rsid w:val="00983B66"/>
    <w:rsid w:val="009A00EF"/>
    <w:rsid w:val="009B7597"/>
    <w:rsid w:val="009E2FC1"/>
    <w:rsid w:val="00A054D4"/>
    <w:rsid w:val="00A070F1"/>
    <w:rsid w:val="00A11A87"/>
    <w:rsid w:val="00A16F09"/>
    <w:rsid w:val="00A24C7F"/>
    <w:rsid w:val="00A40B21"/>
    <w:rsid w:val="00A4368F"/>
    <w:rsid w:val="00A87D80"/>
    <w:rsid w:val="00AA4597"/>
    <w:rsid w:val="00AA7D30"/>
    <w:rsid w:val="00AC71D9"/>
    <w:rsid w:val="00AD52A0"/>
    <w:rsid w:val="00B02D47"/>
    <w:rsid w:val="00B24CAB"/>
    <w:rsid w:val="00B32C60"/>
    <w:rsid w:val="00B96465"/>
    <w:rsid w:val="00B96901"/>
    <w:rsid w:val="00BB7862"/>
    <w:rsid w:val="00BC3EF4"/>
    <w:rsid w:val="00BD71BE"/>
    <w:rsid w:val="00C045C7"/>
    <w:rsid w:val="00C3069C"/>
    <w:rsid w:val="00C3147D"/>
    <w:rsid w:val="00C4124C"/>
    <w:rsid w:val="00C55157"/>
    <w:rsid w:val="00C76073"/>
    <w:rsid w:val="00CA2DA5"/>
    <w:rsid w:val="00CC69B4"/>
    <w:rsid w:val="00CE2377"/>
    <w:rsid w:val="00D76983"/>
    <w:rsid w:val="00D84C12"/>
    <w:rsid w:val="00DA3966"/>
    <w:rsid w:val="00DB414B"/>
    <w:rsid w:val="00DD0AED"/>
    <w:rsid w:val="00DE1383"/>
    <w:rsid w:val="00E03D3B"/>
    <w:rsid w:val="00E11379"/>
    <w:rsid w:val="00E11402"/>
    <w:rsid w:val="00E84935"/>
    <w:rsid w:val="00F22114"/>
    <w:rsid w:val="00F22EA6"/>
    <w:rsid w:val="00F526FC"/>
    <w:rsid w:val="00F800F9"/>
    <w:rsid w:val="00F80D7E"/>
    <w:rsid w:val="00F87E2A"/>
    <w:rsid w:val="00FB13C4"/>
    <w:rsid w:val="00FC1776"/>
    <w:rsid w:val="00FC40A3"/>
    <w:rsid w:val="00FD22CE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BFD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D2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2CE"/>
  </w:style>
  <w:style w:type="paragraph" w:styleId="Footer">
    <w:name w:val="footer"/>
    <w:basedOn w:val="Normal"/>
    <w:link w:val="FooterChar"/>
    <w:uiPriority w:val="99"/>
    <w:unhideWhenUsed/>
    <w:rsid w:val="00FD2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2CE"/>
  </w:style>
  <w:style w:type="paragraph" w:customStyle="1" w:styleId="NormalLeft">
    <w:name w:val="Normal Left"/>
    <w:basedOn w:val="Normal"/>
    <w:uiPriority w:val="99"/>
    <w:rsid w:val="0041707E"/>
    <w:pPr>
      <w:autoSpaceDE w:val="0"/>
      <w:autoSpaceDN w:val="0"/>
      <w:spacing w:before="120" w:after="120" w:line="240" w:lineRule="auto"/>
    </w:pPr>
    <w:rPr>
      <w:rFonts w:ascii="Times New Roman" w:eastAsiaTheme="minorEastAsia" w:hAnsi="Times New Roman" w:cs="Times New Roman"/>
      <w:sz w:val="24"/>
      <w:szCs w:val="24"/>
      <w:lang w:val="fr-FR" w:eastAsia="en-GB"/>
    </w:rPr>
  </w:style>
  <w:style w:type="paragraph" w:customStyle="1" w:styleId="Point0">
    <w:name w:val="Point 0"/>
    <w:basedOn w:val="Normal"/>
    <w:uiPriority w:val="99"/>
    <w:rsid w:val="0041707E"/>
    <w:pPr>
      <w:autoSpaceDE w:val="0"/>
      <w:autoSpaceDN w:val="0"/>
      <w:spacing w:before="120" w:after="120" w:line="240" w:lineRule="auto"/>
      <w:ind w:left="851" w:hanging="851"/>
      <w:jc w:val="both"/>
    </w:pPr>
    <w:rPr>
      <w:rFonts w:ascii="Times New Roman" w:eastAsiaTheme="minorEastAsia" w:hAnsi="Times New Roman" w:cs="Times New Roman"/>
      <w:sz w:val="24"/>
      <w:szCs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RIS Document" ma:contentTypeID="0x010100BD4417634701014DA0CDE7BA7EA0A0370010DE6CC8CF7C2F4C95DD4560A5BFE726" ma:contentTypeVersion="58" ma:contentTypeDescription="" ma:contentTypeScope="" ma:versionID="f4790129975b2a3eafbb0d4eb16fda01">
  <xsd:schema xmlns:xsd="http://www.w3.org/2001/XMLSchema" xmlns:xs="http://www.w3.org/2001/XMLSchema" xmlns:p="http://schemas.microsoft.com/office/2006/metadata/properties" xmlns:ns1="http://schemas.microsoft.com/sharepoint/v3" xmlns:ns2="08acf695-f66a-4768-b3cf-48c5dc920dbe" xmlns:ns4="http://schemas.microsoft.com/sharepoint/v4" xmlns:ns5="7d3a43e0-6a6d-43c3-be80-d9064606a4a9" targetNamespace="http://schemas.microsoft.com/office/2006/metadata/properties" ma:root="true" ma:fieldsID="68d877bc19293de5421e211bec7cef92" ns1:_="" ns2:_="" ns4:_="" ns5:_="">
    <xsd:import namespace="http://schemas.microsoft.com/sharepoint/v3"/>
    <xsd:import namespace="08acf695-f66a-4768-b3cf-48c5dc920dbe"/>
    <xsd:import namespace="http://schemas.microsoft.com/sharepoint/v4"/>
    <xsd:import namespace="7d3a43e0-6a6d-43c3-be80-d9064606a4a9"/>
    <xsd:element name="properties">
      <xsd:complexType>
        <xsd:sequence>
          <xsd:element name="documentManagement">
            <xsd:complexType>
              <xsd:all>
                <xsd:element ref="ns2:o5b23233268c446795eaad3746ea89f6" minOccurs="0"/>
                <xsd:element ref="ns2:TaxCatchAll" minOccurs="0"/>
                <xsd:element ref="ns2:TaxCatchAllLabel" minOccurs="0"/>
                <xsd:element ref="ns2:bd0590dde75a4281b274cfe17b88f084" minOccurs="0"/>
                <xsd:element ref="ns2:ERIS_ConfidentialityLevel"/>
                <xsd:element ref="ns2:ERIS_AdditionalMarkings" minOccurs="0"/>
                <xsd:element ref="ns2:ERIS_ApprovalStatus" minOccurs="0"/>
                <xsd:element ref="ns2:ib9b5da6129a4764bff7589b09465f44" minOccurs="0"/>
                <xsd:element ref="ns2:b951eb87927b40548bb1fcfe6ad9c4d4" minOccurs="0"/>
                <xsd:element ref="ns2:ERIS_OtherReference" minOccurs="0"/>
                <xsd:element ref="ns2:ERIS_Relation" minOccurs="0"/>
                <xsd:element ref="ns2:ERIS_AssignedTo" minOccurs="0"/>
                <xsd:element ref="ns2:ERIS_RecordNumber" minOccurs="0"/>
                <xsd:element ref="ns1:FormData" minOccurs="0"/>
                <xsd:element ref="ns4:IconOverlay" minOccurs="0"/>
                <xsd:element ref="ns2:ERIS_SupersededObsolete" minOccurs="0"/>
                <xsd:element ref="ns5:SharedWithUsers" minOccurs="0"/>
                <xsd:element ref="ns2:ERIS_BusinessArea" minOccurs="0"/>
                <xsd:element ref="ns2:FilenameMeetingType" minOccurs="0"/>
                <xsd:element ref="ns2:NextMeetingType" minOccurs="0"/>
                <xsd:element ref="ns2:FilenameMeetingAgendaNo" minOccurs="0"/>
                <xsd:element ref="ns2:FilenameMeetingNo" minOccurs="0"/>
                <xsd:element ref="ns2:NextMeeting" minOccurs="0"/>
                <xsd:element ref="ns2:SourceDocumentInfo" minOccurs="0"/>
                <xsd:element ref="ns2:NextMeetingSubfolder" minOccurs="0"/>
                <xsd:element ref="ns2:SubmittingDepartment" minOccurs="0"/>
                <xsd:element ref="ns2:MeetingApprovalPa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26" nillable="true" ma:displayName="Form Data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cf695-f66a-4768-b3cf-48c5dc920dbe" elementFormDefault="qualified">
    <xsd:import namespace="http://schemas.microsoft.com/office/2006/documentManagement/types"/>
    <xsd:import namespace="http://schemas.microsoft.com/office/infopath/2007/PartnerControls"/>
    <xsd:element name="o5b23233268c446795eaad3746ea89f6" ma:index="8" ma:taxonomy="true" ma:internalName="o5b23233268c446795eaad3746ea89f6" ma:taxonomyFieldName="ERIS_DocumentType" ma:displayName="Document Type" ma:readOnly="false" ma:fieldId="{85b23233-268c-4467-95ea-ad3746ea89f6}" ma:sspId="2b1776d1-ae3b-49f8-a97b-1474fa7fa346" ma:termSetId="8291263e-1670-46c0-b090-f3efb02d9c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269eaf7d-3942-436b-9833-c35ed307f50b}" ma:internalName="TaxCatchAll" ma:showField="CatchAllData" ma:web="08acf695-f66a-4768-b3cf-48c5dc920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269eaf7d-3942-436b-9833-c35ed307f50b}" ma:internalName="TaxCatchAllLabel" ma:readOnly="true" ma:showField="CatchAllDataLabel" ma:web="08acf695-f66a-4768-b3cf-48c5dc920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d0590dde75a4281b274cfe17b88f084" ma:index="12" ma:taxonomy="true" ma:internalName="bd0590dde75a4281b274cfe17b88f084" ma:taxonomyFieldName="ERIS_Keywords" ma:displayName="Keywords" ma:default="4;#Prudential Policy|43245a93-b13b-4262-9edd-8f7887118150" ma:fieldId="{bd0590dd-e75a-4281-b274-cfe17b88f084}" ma:taxonomyMulti="true" ma:sspId="2b1776d1-ae3b-49f8-a97b-1474fa7fa346" ma:termSetId="041e8d27-50b6-44df-be8e-d4aba88ea6e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RIS_ConfidentialityLevel" ma:index="14" ma:displayName="Confidentiality Level" ma:default="EIOPA Regular Use" ma:format="Dropdown" ma:internalName="ERIS_ConfidentialityLevel" ma:readOnly="false">
      <xsd:simpleType>
        <xsd:restriction base="dms:Choice">
          <xsd:enumeration value="PUBLIC"/>
          <xsd:enumeration value="EIOPA Regular Use"/>
          <xsd:enumeration value="EIOPA Restricted Use"/>
          <xsd:enumeration value="EIOPA Confidential Use"/>
        </xsd:restriction>
      </xsd:simpleType>
    </xsd:element>
    <xsd:element name="ERIS_AdditionalMarkings" ma:index="15" nillable="true" ma:displayName="Additional Markings" ma:format="Dropdown" ma:internalName="ERIS_AdditionalMarkings">
      <xsd:simpleType>
        <xsd:union memberTypes="dms:Text">
          <xsd:simpleType>
            <xsd:restriction base="dms:Choice">
              <xsd:enumeration value="‍​​‍‍​‍​​‍﻿﻿﻿"/>
              <xsd:enumeration value="Limited"/>
              <xsd:enumeration value="Internal Use Only"/>
              <xsd:enumeration value="Personal Data"/>
              <xsd:enumeration value="Staff Matter"/>
              <xsd:enumeration value="Management Only"/>
            </xsd:restriction>
          </xsd:simpleType>
        </xsd:union>
      </xsd:simpleType>
    </xsd:element>
    <xsd:element name="ERIS_ApprovalStatus" ma:index="16" nillable="true" ma:displayName="Approval Status" ma:default="DRAFT" ma:format="Dropdown" ma:internalName="ERIS_ApprovalStatus">
      <xsd:simpleType>
        <xsd:restriction base="dms:Choice">
          <xsd:enumeration value="DRAFT"/>
          <xsd:enumeration value="UNDER REVIEW"/>
          <xsd:enumeration value="FINAL"/>
          <xsd:enumeration value="N/A"/>
        </xsd:restriction>
      </xsd:simpleType>
    </xsd:element>
    <xsd:element name="ib9b5da6129a4764bff7589b09465f44" ma:index="17" nillable="true" ma:taxonomy="true" ma:internalName="ib9b5da6129a4764bff7589b09465f44" ma:taxonomyFieldName="ERIS_Department" ma:displayName="EIOPA Department" ma:default="" ma:fieldId="{2b9b5da6-129a-4764-bff7-589b09465f44}" ma:sspId="2b1776d1-ae3b-49f8-a97b-1474fa7fa346" ma:termSetId="2f2a64c9-9254-4d19-9904-51fea509003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951eb87927b40548bb1fcfe6ad9c4d4" ma:index="19" nillable="true" ma:taxonomy="true" ma:internalName="b951eb87927b40548bb1fcfe6ad9c4d4" ma:taxonomyFieldName="ERIS_Language" ma:displayName="Language" ma:default="3;#English|2741a941-2920-4ba4-aa70-d8ed6ac1785d" ma:fieldId="{b951eb87-927b-4054-8bb1-fcfe6ad9c4d4}" ma:taxonomyMulti="true" ma:sspId="2b1776d1-ae3b-49f8-a97b-1474fa7fa346" ma:termSetId="315add97-73bf-465d-a942-81c36fc30c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RIS_OtherReference" ma:index="21" nillable="true" ma:displayName="Other Reference" ma:internalName="ERIS_OtherReference">
      <xsd:simpleType>
        <xsd:restriction base="dms:Text"/>
      </xsd:simpleType>
    </xsd:element>
    <xsd:element name="ERIS_Relation" ma:index="22" nillable="true" ma:displayName="Relation" ma:internalName="ERIS_Relation">
      <xsd:simpleType>
        <xsd:restriction base="dms:Text"/>
      </xsd:simpleType>
    </xsd:element>
    <xsd:element name="ERIS_AssignedTo" ma:index="23" nillable="true" ma:displayName="Assigned To" ma:internalName="ERIS_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RIS_RecordNumber" ma:index="24" nillable="true" ma:displayName="Record Number" ma:internalName="ERIS_RecordNumber">
      <xsd:simpleType>
        <xsd:restriction base="dms:Text"/>
      </xsd:simpleType>
    </xsd:element>
    <xsd:element name="ERIS_SupersededObsolete" ma:index="29" nillable="true" ma:displayName="Superseded/Obsolete?" ma:default="0" ma:internalName="ERIS_SupersededObsolete">
      <xsd:simpleType>
        <xsd:restriction base="dms:Boolean"/>
      </xsd:simpleType>
    </xsd:element>
    <xsd:element name="ERIS_BusinessArea" ma:index="31" nillable="true" ma:displayName="Business Area" ma:format="Dropdown" ma:internalName="ERIS_BusinessArea">
      <xsd:simpleType>
        <xsd:union memberTypes="dms:Text">
          <xsd:simpleType>
            <xsd:restriction base="dms:Choice">
              <xsd:enumeration value="Corporate Affairs Department"/>
              <xsd:enumeration value="Policy and Supervisory Convergence Department"/>
              <xsd:enumeration value="Policy Department"/>
              <xsd:enumeration value="Supervisory Processes Department"/>
              <xsd:enumeration value="Oversight Department"/>
              <xsd:enumeration value="Risk &amp; Financial Stability Department"/>
              <xsd:enumeration value="Consumer Protection Department"/>
              <xsd:enumeration value="Corporate Support Department"/>
              <xsd:enumeration value="Chairperson"/>
              <xsd:enumeration value="Executive Director"/>
              <xsd:enumeration value="Management Board"/>
              <xsd:enumeration value="Board of Supervisors"/>
            </xsd:restriction>
          </xsd:simpleType>
        </xsd:union>
      </xsd:simpleType>
    </xsd:element>
    <xsd:element name="FilenameMeetingType" ma:index="32" nillable="true" ma:displayName="FilenameMeetingType" ma:internalName="FilenameMeetingType">
      <xsd:simpleType>
        <xsd:restriction base="dms:Choice">
          <xsd:enumeration value="MB"/>
          <xsd:enumeration value="BoS"/>
          <xsd:enumeration value="..."/>
        </xsd:restriction>
      </xsd:simpleType>
    </xsd:element>
    <xsd:element name="NextMeetingType" ma:index="33" nillable="true" ma:displayName="NextMeetingType" ma:internalName="NextMeetingType">
      <xsd:simpleType>
        <xsd:restriction base="dms:Choice">
          <xsd:enumeration value="SMM"/>
          <xsd:enumeration value="MB"/>
          <xsd:enumeration value="BoS"/>
          <xsd:enumeration value="..."/>
        </xsd:restriction>
      </xsd:simpleType>
    </xsd:element>
    <xsd:element name="FilenameMeetingAgendaNo" ma:index="34" nillable="true" ma:displayName="FilenameMeetingAgendaNo" ma:internalName="FilenameMeetingAgendaNo">
      <xsd:simpleType>
        <xsd:restriction base="dms:Text"/>
      </xsd:simpleType>
    </xsd:element>
    <xsd:element name="FilenameMeetingNo" ma:index="35" nillable="true" ma:displayName="FilenameMeetingNo" ma:internalName="FilenameMeetingNo">
      <xsd:simpleType>
        <xsd:restriction base="dms:Text"/>
      </xsd:simpleType>
    </xsd:element>
    <xsd:element name="NextMeeting" ma:index="36" nillable="true" ma:displayName="NextMeeting" ma:internalName="NextMeeting">
      <xsd:simpleType>
        <xsd:restriction base="dms:Text"/>
      </xsd:simpleType>
    </xsd:element>
    <xsd:element name="SourceDocumentInfo" ma:index="37" nillable="true" ma:displayName="SourceDocumentInfo" ma:internalName="SourceDocumentInfo">
      <xsd:simpleType>
        <xsd:restriction base="dms:Note">
          <xsd:maxLength value="255"/>
        </xsd:restriction>
      </xsd:simpleType>
    </xsd:element>
    <xsd:element name="NextMeetingSubfolder" ma:index="38" nillable="true" ma:displayName="NextMeetingSubfolder" ma:internalName="NextMeetingSubfolder">
      <xsd:simpleType>
        <xsd:restriction base="dms:Text"/>
      </xsd:simpleType>
    </xsd:element>
    <xsd:element name="SubmittingDepartment" ma:index="39" nillable="true" ma:displayName="SubmittingDepartment" ma:internalName="SubmittingDepartment">
      <xsd:simpleType>
        <xsd:restriction base="dms:Text"/>
      </xsd:simpleType>
    </xsd:element>
    <xsd:element name="MeetingApprovalPath" ma:index="40" nillable="true" ma:displayName="MeetingApprovalPath" ma:internalName="MeetingApprovalPath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a43e0-6a6d-43c3-be80-d9064606a4a9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4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5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cf695-f66a-4768-b3cf-48c5dc920dbe">
      <Value>9</Value>
      <Value>42</Value>
      <Value>5</Value>
      <Value>4</Value>
      <Value>3</Value>
      <Value>8</Value>
    </TaxCatchAll>
    <FilenameMeetingType xmlns="08acf695-f66a-4768-b3cf-48c5dc920dbe" xsi:nil="true"/>
    <SourceDocumentInfo xmlns="08acf695-f66a-4768-b3cf-48c5dc920dbe" xsi:nil="true"/>
    <ERIS_Relation xmlns="08acf695-f66a-4768-b3cf-48c5dc920dbe" xsi:nil="true"/>
    <ERIS_AssignedTo xmlns="08acf695-f66a-4768-b3cf-48c5dc920dbe">
      <UserInfo>
        <DisplayName/>
        <AccountId xsi:nil="true"/>
        <AccountType/>
      </UserInfo>
    </ERIS_AssignedTo>
    <ib9b5da6129a4764bff7589b09465f44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Supervisory Processes Department</TermName>
          <TermId xmlns="http://schemas.microsoft.com/office/infopath/2007/PartnerControls">3a9db3ad-f1a2-49c0-8c29-af39c608fb30</TermId>
        </TermInfo>
      </Terms>
    </ib9b5da6129a4764bff7589b09465f44>
    <b951eb87927b40548bb1fcfe6ad9c4d4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2741a941-2920-4ba4-aa70-d8ed6ac1785d</TermId>
        </TermInfo>
      </Terms>
    </b951eb87927b40548bb1fcfe6ad9c4d4>
    <NextMeetingSubfolder xmlns="08acf695-f66a-4768-b3cf-48c5dc920dbe" xsi:nil="true"/>
    <bd0590dde75a4281b274cfe17b88f084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Quantitative Reporting Templates</TermName>
          <TermId xmlns="http://schemas.microsoft.com/office/infopath/2007/PartnerControls">d7753427-b1c9-4f72-b6a6-10b2a5ee67e3</TermId>
        </TermInfo>
        <TermInfo xmlns="http://schemas.microsoft.com/office/infopath/2007/PartnerControls">
          <TermName xmlns="http://schemas.microsoft.com/office/infopath/2007/PartnerControls">Prudential Policy</TermName>
          <TermId xmlns="http://schemas.microsoft.com/office/infopath/2007/PartnerControls">43245a93-b13b-4262-9edd-8f7887118150</TermId>
        </TermInfo>
        <TermInfo xmlns="http://schemas.microsoft.com/office/infopath/2007/PartnerControls">
          <TermName xmlns="http://schemas.microsoft.com/office/infopath/2007/PartnerControls">Regulatory Framework Monitoring</TermName>
          <TermId xmlns="http://schemas.microsoft.com/office/infopath/2007/PartnerControls">c95f4284-c8c2-4a99-bcad-302f92cd1745</TermId>
        </TermInfo>
      </Terms>
    </bd0590dde75a4281b274cfe17b88f084>
    <IconOverlay xmlns="http://schemas.microsoft.com/sharepoint/v4" xsi:nil="true"/>
    <ERIS_SupersededObsolete xmlns="08acf695-f66a-4768-b3cf-48c5dc920dbe">false</ERIS_SupersededObsolete>
    <ERIS_RecordNumber xmlns="08acf695-f66a-4768-b3cf-48c5dc920dbe">EIOPA(2025)0138453</ERIS_RecordNumber>
    <NextMeeting xmlns="08acf695-f66a-4768-b3cf-48c5dc920dbe" xsi:nil="true"/>
    <SubmittingDepartment xmlns="08acf695-f66a-4768-b3cf-48c5dc920dbe" xsi:nil="true"/>
    <ERIS_AdditionalMarkings xmlns="08acf695-f66a-4768-b3cf-48c5dc920dbe" xsi:nil="true"/>
    <ERIS_ConfidentialityLevel xmlns="08acf695-f66a-4768-b3cf-48c5dc920dbe">EIOPA Regular Use</ERIS_ConfidentialityLevel>
    <FormData xmlns="http://schemas.microsoft.com/sharepoint/v3" xsi:nil="true"/>
    <ERIS_BusinessArea xmlns="08acf695-f66a-4768-b3cf-48c5dc920dbe" xsi:nil="true"/>
    <ERIS_ApprovalStatus xmlns="08acf695-f66a-4768-b3cf-48c5dc920dbe">DRAFT</ERIS_ApprovalStatus>
    <NextMeetingType xmlns="08acf695-f66a-4768-b3cf-48c5dc920dbe" xsi:nil="true"/>
    <ERIS_OtherReference xmlns="08acf695-f66a-4768-b3cf-48c5dc920dbe" xsi:nil="true"/>
    <MeetingApprovalPath xmlns="08acf695-f66a-4768-b3cf-48c5dc920dbe" xsi:nil="true"/>
    <o5b23233268c446795eaad3746ea89f6 xmlns="08acf695-f66a-4768-b3cf-48c5dc920d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Consultation/Discussion Paper</TermName>
          <TermId xmlns="http://schemas.microsoft.com/office/infopath/2007/PartnerControls">d6165307-c9dd-4b86-89b7-c1e302d608ac</TermId>
        </TermInfo>
      </Terms>
    </o5b23233268c446795eaad3746ea89f6>
    <FilenameMeetingAgendaNo xmlns="08acf695-f66a-4768-b3cf-48c5dc920dbe" xsi:nil="true"/>
    <FilenameMeetingNo xmlns="08acf695-f66a-4768-b3cf-48c5dc920dbe" xsi:nil="true"/>
  </documentManagement>
</p:properties>
</file>

<file path=customXml/itemProps1.xml><?xml version="1.0" encoding="utf-8"?>
<ds:datastoreItem xmlns:ds="http://schemas.openxmlformats.org/officeDocument/2006/customXml" ds:itemID="{E68A3ADE-E1BA-4742-872E-0E43592C61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6438D0-522F-4734-A066-75D13E6BD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8acf695-f66a-4768-b3cf-48c5dc920dbe"/>
    <ds:schemaRef ds:uri="http://schemas.microsoft.com/sharepoint/v4"/>
    <ds:schemaRef ds:uri="7d3a43e0-6a6d-43c3-be80-d9064606a4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1768E-9AB5-4D96-BEC8-2606DBFEDFCB}">
  <ds:schemaRefs/>
</ds:datastoreItem>
</file>

<file path=customXml/itemProps4.xml><?xml version="1.0" encoding="utf-8"?>
<ds:datastoreItem xmlns:ds="http://schemas.openxmlformats.org/officeDocument/2006/customXml" ds:itemID="{7F63DB38-D462-4F53-BD92-275B3053F13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015C216-5A1A-4162-B2CC-C4FCC79988D2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B067B3F4-2022-4513-9D51-6E6A5AAC8505}">
  <ds:schemaRefs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7d3a43e0-6a6d-43c3-be80-d9064606a4a9"/>
    <ds:schemaRef ds:uri="http://schemas.microsoft.com/sharepoint/v4"/>
    <ds:schemaRef ds:uri="http://purl.org/dc/elements/1.1/"/>
    <ds:schemaRef ds:uri="08acf695-f66a-4768-b3cf-48c5dc920dbe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2025-06-03T15:50:00Z</dcterms:created>
  <dcterms:modified xsi:type="dcterms:W3CDTF">2025-06-03T15:50:00Z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0x010100BD4417634701014DA0CDE7BA7EA0A0370010DE6CC8CF7C2F4C95DD4560A5BFE726</vt:lpwstr>
  </property>
  <property fmtid="{D5CDD505-2E9C-101B-9397-08002B2CF9AE}" pid="8" name="ERIS_Department">
    <vt:lpwstr>9;#Supervisory Processes Department|3a9db3ad-f1a2-49c0-8c29-af39c608fb30</vt:lpwstr>
  </property>
  <property fmtid="{D5CDD505-2E9C-101B-9397-08002B2CF9AE}" pid="11" name="RecordPoint_WorkflowType">
    <vt:lpwstr>ActiveSubmitStub</vt:lpwstr>
  </property>
  <property fmtid="{D5CDD505-2E9C-101B-9397-08002B2CF9AE}" pid="12" name="ERIS_DocumentType">
    <vt:lpwstr>42;#Consultation/Discussion Paper|d6165307-c9dd-4b86-89b7-c1e302d608ac</vt:lpwstr>
  </property>
  <property fmtid="{D5CDD505-2E9C-101B-9397-08002B2CF9AE}" pid="14" name="ERIS_Language">
    <vt:lpwstr>3;#English|2741a941-2920-4ba4-aa70-d8ed6ac1785d</vt:lpwstr>
  </property>
  <property fmtid="{D5CDD505-2E9C-101B-9397-08002B2CF9AE}" pid="16" name="MDU">
    <vt:lpwstr/>
  </property>
  <property fmtid="{D5CDD505-2E9C-101B-9397-08002B2CF9AE}" pid="19" name="RecordPoint_ActiveItemUniqueId">
    <vt:lpwstr>{cdedfc10-472e-4822-b15e-288042f91bfa}</vt:lpwstr>
  </property>
  <property fmtid="{D5CDD505-2E9C-101B-9397-08002B2CF9AE}" pid="20" name="RecordPoint_SubmissionCompleted">
    <vt:lpwstr>2025-06-03T17:51:51.4087567+02:00</vt:lpwstr>
  </property>
  <property fmtid="{D5CDD505-2E9C-101B-9397-08002B2CF9AE}" pid="23" name="ERIS_Keywords">
    <vt:lpwstr>8;#Quantitative Reporting Templates|d7753427-b1c9-4f72-b6a6-10b2a5ee67e3;#4;#Prudential Policy|43245a93-b13b-4262-9edd-8f7887118150;#5;#Regulatory Framework Monitoring|c95f4284-c8c2-4a99-bcad-302f92cd1745</vt:lpwstr>
  </property>
  <property fmtid="{D5CDD505-2E9C-101B-9397-08002B2CF9AE}" pid="24" name="RecordPoint_ActiveItemWebId">
    <vt:lpwstr>{7d3a43e0-6a6d-43c3-be80-d9064606a4a9}</vt:lpwstr>
  </property>
  <property fmtid="{D5CDD505-2E9C-101B-9397-08002B2CF9AE}" pid="25" name="RecordPoint_ActiveItemSiteId">
    <vt:lpwstr>{7a172dfa-c9d6-41b8-93a6-13c75f55ec66}</vt:lpwstr>
  </property>
  <property fmtid="{D5CDD505-2E9C-101B-9397-08002B2CF9AE}" pid="26" name="RecordPoint_ActiveItemListId">
    <vt:lpwstr>{335d190b-d285-4fb9-b9c4-fd3b7459182d}</vt:lpwstr>
  </property>
  <property fmtid="{D5CDD505-2E9C-101B-9397-08002B2CF9AE}" pid="27" name="RecordPoint_RecordNumberSubmitted">
    <vt:lpwstr>EIOPA(2025)0138453</vt:lpwstr>
  </property>
</Properties>
</file>